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0D" w:rsidRPr="0037770D" w:rsidRDefault="0037770D" w:rsidP="003777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b/>
          <w:color w:val="2F2F2F"/>
          <w:sz w:val="32"/>
          <w:szCs w:val="32"/>
        </w:rPr>
      </w:pPr>
      <w:r w:rsidRPr="0037770D">
        <w:rPr>
          <w:rFonts w:ascii="微软雅黑" w:eastAsia="微软雅黑" w:hAnsi="微软雅黑" w:hint="eastAsia"/>
          <w:b/>
          <w:color w:val="2F2F2F"/>
          <w:sz w:val="32"/>
          <w:szCs w:val="32"/>
        </w:rPr>
        <w:t>最高法关于印发《人民法院办理执行案件“十个必须”》的通知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color w:val="2F2F2F"/>
        </w:rPr>
      </w:pPr>
      <w:r w:rsidRPr="0037770D">
        <w:rPr>
          <w:rFonts w:ascii="微软雅黑" w:eastAsia="微软雅黑" w:hAnsi="微软雅黑" w:hint="eastAsia"/>
          <w:color w:val="2F2F2F"/>
        </w:rPr>
        <w:t>法办发〔2021〕7号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 w:hint="eastAsia"/>
          <w:color w:val="2F2F2F"/>
        </w:rPr>
      </w:pPr>
      <w:r w:rsidRPr="0037770D">
        <w:rPr>
          <w:rStyle w:val="a4"/>
          <w:rFonts w:ascii="微软雅黑" w:eastAsia="微软雅黑" w:hAnsi="微软雅黑" w:hint="eastAsia"/>
          <w:color w:val="2F2F2F"/>
        </w:rPr>
        <w:t>最高人民法院办公厅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 w:hint="eastAsia"/>
          <w:color w:val="2F2F2F"/>
        </w:rPr>
      </w:pPr>
      <w:r w:rsidRPr="0037770D">
        <w:rPr>
          <w:rStyle w:val="a4"/>
          <w:rFonts w:ascii="微软雅黑" w:eastAsia="微软雅黑" w:hAnsi="微软雅黑" w:hint="eastAsia"/>
          <w:color w:val="2F2F2F"/>
        </w:rPr>
        <w:t xml:space="preserve">　　关于印发《人民法院办理执行案件“十个必须”》的通知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</w:rPr>
      </w:pPr>
      <w:r w:rsidRPr="0037770D">
        <w:rPr>
          <w:rFonts w:ascii="微软雅黑" w:eastAsia="微软雅黑" w:hAnsi="微软雅黑" w:hint="eastAsia"/>
          <w:color w:val="2F2F2F"/>
        </w:rPr>
        <w:t>各省、自治区、直辖市高级人民法院，解放军军事法院，新疆维吾尔自治区高级人民法院生产建设兵团分院：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</w:rPr>
      </w:pPr>
      <w:r w:rsidRPr="0037770D">
        <w:rPr>
          <w:rFonts w:ascii="微软雅黑" w:eastAsia="微软雅黑" w:hAnsi="微软雅黑" w:hint="eastAsia"/>
          <w:color w:val="2F2F2F"/>
        </w:rPr>
        <w:t xml:space="preserve">　　现将《人民法院办理执行案件“十个必须”》予以印发，请认真遵照执行。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right"/>
        <w:rPr>
          <w:rFonts w:ascii="微软雅黑" w:eastAsia="微软雅黑" w:hAnsi="微软雅黑" w:hint="eastAsia"/>
          <w:color w:val="2F2F2F"/>
        </w:rPr>
      </w:pPr>
      <w:r w:rsidRPr="0037770D">
        <w:rPr>
          <w:rFonts w:ascii="微软雅黑" w:eastAsia="微软雅黑" w:hAnsi="微软雅黑" w:hint="eastAsia"/>
          <w:color w:val="2F2F2F"/>
        </w:rPr>
        <w:t xml:space="preserve">　　最高人民法院办公厅</w:t>
      </w:r>
    </w:p>
    <w:p w:rsidR="0037770D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right"/>
        <w:rPr>
          <w:rFonts w:ascii="微软雅黑" w:eastAsia="微软雅黑" w:hAnsi="微软雅黑" w:hint="eastAsia"/>
          <w:color w:val="2F2F2F"/>
        </w:rPr>
      </w:pPr>
      <w:r w:rsidRPr="0037770D">
        <w:rPr>
          <w:rFonts w:ascii="微软雅黑" w:eastAsia="微软雅黑" w:hAnsi="微软雅黑" w:hint="eastAsia"/>
          <w:color w:val="2F2F2F"/>
        </w:rPr>
        <w:t xml:space="preserve">　　2021年11月11日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right"/>
        <w:rPr>
          <w:rFonts w:ascii="微软雅黑" w:eastAsia="微软雅黑" w:hAnsi="微软雅黑" w:hint="eastAsia"/>
          <w:color w:val="2F2F2F"/>
          <w:sz w:val="27"/>
          <w:szCs w:val="27"/>
        </w:rPr>
      </w:pP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Style w:val="a4"/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2F2F2F"/>
          <w:sz w:val="27"/>
          <w:szCs w:val="27"/>
        </w:rPr>
        <w:t>人民法院办理执行案件“ 十个必须”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 w:hint="eastAsia"/>
          <w:color w:val="2F2F2F"/>
          <w:sz w:val="27"/>
          <w:szCs w:val="27"/>
        </w:rPr>
      </w:pP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一、必须强化政治意识、宗旨意识，筑牢政治忠诚，践行执行为民，严禁“冷硬横推”、“吃拿卡要”、作风不正；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二、必须强化纪法意识，严守纪律规矩，严禁有令不行、有禁不止、弄权谋私、执行不廉；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三、必须严格遵守“三个规定”，严禁与当事人、律师不正当交往，违规干预过问案件；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四、必须高效公正执行，严禁消极执行、拖延执行、选择性执行；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五、必须规范文明执行，严禁违规评估、拍卖，超标的查封，乱执行；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六、必须严格把握无财产可供执行案件的结案标准，严禁未穷尽执行措施而以终结本次执行方式结案、应恢复执行而不及时恢复；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七、必须全面实行执行案款“一案一账号”管理模式，具备发放条件的十五个工作日内完成案款发放，严禁截留、挪用、超期发放；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八、必须接访即办，件件有录入、事事有回应，严禁敷衍塞责、程序空转、化解不到位；</w:t>
      </w:r>
    </w:p>
    <w:p w:rsid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 w:hint="eastAsia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九、必须深化执行公开，关键节点信息实时推送，严禁暗箱操作、权力寻租；</w:t>
      </w:r>
    </w:p>
    <w:p w:rsidR="00BD4500" w:rsidRPr="0037770D" w:rsidRDefault="0037770D" w:rsidP="0037770D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微软雅黑" w:eastAsia="微软雅黑" w:hAnsi="微软雅黑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十、必须强化执行权监督制约，自觉接受各方监督，严禁恣意妄为、滥用职权。</w:t>
      </w:r>
    </w:p>
    <w:sectPr w:rsidR="00BD4500" w:rsidRPr="0037770D" w:rsidSect="003777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70D"/>
    <w:rsid w:val="0037770D"/>
    <w:rsid w:val="00BD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770D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7770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77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newdaxie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</cp:revision>
  <dcterms:created xsi:type="dcterms:W3CDTF">2024-11-17T09:22:00Z</dcterms:created>
  <dcterms:modified xsi:type="dcterms:W3CDTF">2024-11-17T09:25:00Z</dcterms:modified>
</cp:coreProperties>
</file>